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B819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418461</w:t>
      </w:r>
      <w:bookmarkStart w:id="9" w:name="_GoBack"/>
      <w:bookmarkEnd w:id="9"/>
      <w:r>
        <w:rPr>
          <w:b/>
          <w:sz w:val="24"/>
          <w:szCs w:val="24"/>
          <w:highlight w:val="none"/>
        </w:rPr>
        <w:t xml:space="preserve">                          </w:t>
      </w:r>
    </w:p>
    <w:bookmarkEnd w:id="0"/>
    <w:bookmarkEnd w:id="1"/>
    <w:p w14:paraId="2A96AA6E">
      <w:pPr>
        <w:pStyle w:val="8"/>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eastAsia="宋体"/>
          <w:b/>
          <w:sz w:val="24"/>
          <w:szCs w:val="24"/>
          <w:highlight w:val="none"/>
          <w:lang w:val="en-US" w:eastAsia="zh-CN"/>
        </w:rPr>
        <w:t xml:space="preserve"> - </w:t>
      </w:r>
      <w:r>
        <w:rPr>
          <w:rFonts w:hint="eastAsia"/>
          <w:b/>
          <w:sz w:val="24"/>
          <w:szCs w:val="24"/>
          <w:highlight w:val="none"/>
        </w:rPr>
        <w:t>22</w:t>
      </w:r>
      <w:r>
        <w:rPr>
          <w:rFonts w:hint="eastAsia"/>
          <w:b/>
          <w:sz w:val="24"/>
          <w:szCs w:val="24"/>
          <w:highlight w:val="none"/>
          <w:vertAlign w:val="superscript"/>
        </w:rPr>
        <w:t>nd</w:t>
      </w:r>
      <w:r>
        <w:rPr>
          <w:rFonts w:hint="eastAsia"/>
          <w:b/>
          <w:sz w:val="24"/>
          <w:szCs w:val="24"/>
          <w:highlight w:val="none"/>
        </w:rPr>
        <w:t xml:space="preserve"> November, 2024</w:t>
      </w:r>
    </w:p>
    <w:p w14:paraId="1616F9CF">
      <w:pPr>
        <w:tabs>
          <w:tab w:val="left" w:pos="1985"/>
        </w:tabs>
        <w:rPr>
          <w:rFonts w:ascii="Times New Roman" w:hAnsi="Times New Roman"/>
          <w:b/>
          <w:sz w:val="22"/>
          <w:highlight w:val="none"/>
        </w:rPr>
      </w:pPr>
    </w:p>
    <w:p w14:paraId="52487F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18</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100296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F665BAD">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testability and interoperability for AI/ML for mobility</w:t>
      </w:r>
    </w:p>
    <w:bookmarkEnd w:id="4"/>
    <w:bookmarkEnd w:id="5"/>
    <w:p w14:paraId="2F899A6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F553CB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CCD57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8CA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65B48765">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1E1B0D8C">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6BDFF37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7CF8845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71B936B1">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0F1548FE">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D5B017B">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initial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testability and interoperability for AI/ML for mobility</w:t>
      </w:r>
      <w:r>
        <w:rPr>
          <w:rFonts w:hint="eastAsia" w:ascii="Times New Roman" w:hAnsi="Times New Roman"/>
          <w:sz w:val="20"/>
          <w:szCs w:val="20"/>
        </w:rPr>
        <w:t>.</w:t>
      </w:r>
    </w:p>
    <w:p w14:paraId="17A0436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C42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229B544">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Issue 3-1-2: Testing goals</w:t>
            </w:r>
          </w:p>
          <w:p w14:paraId="0A683F41">
            <w:pPr>
              <w:pStyle w:val="12"/>
              <w:numPr>
                <w:ilvl w:val="0"/>
                <w:numId w:val="4"/>
              </w:numPr>
              <w:spacing w:before="120" w:after="120"/>
              <w:ind w:left="93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(Samsung): RAN4 would better to clarify the testing property/aim and methodology when test AI/ML functionalities for each AI/ML mobility use case and sub-use case. The alternatives are as follows.</w:t>
            </w:r>
          </w:p>
          <w:p w14:paraId="50A94723">
            <w:pPr>
              <w:pStyle w:val="12"/>
              <w:numPr>
                <w:ilvl w:val="1"/>
                <w:numId w:val="4"/>
              </w:numPr>
              <w:spacing w:before="120" w:after="120"/>
              <w:ind w:left="165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RRM measurement prediction</w:t>
            </w:r>
          </w:p>
          <w:p w14:paraId="2FB57990">
            <w:pPr>
              <w:pStyle w:val="12"/>
              <w:numPr>
                <w:ilvl w:val="2"/>
                <w:numId w:val="4"/>
              </w:numPr>
              <w:spacing w:before="120" w:after="120"/>
              <w:ind w:left="237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1st goal: To verify the trade-off between the measurement reduction and accuracy performance degradation, the legacy performance is as baseline</w:t>
            </w:r>
          </w:p>
          <w:p w14:paraId="044F58EE">
            <w:pPr>
              <w:pStyle w:val="12"/>
              <w:numPr>
                <w:ilvl w:val="2"/>
                <w:numId w:val="4"/>
              </w:numPr>
              <w:spacing w:before="120" w:after="120"/>
              <w:ind w:left="237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2nd goal: To verify whether the HO performance gain of AI/ML model can be obtained</w:t>
            </w:r>
          </w:p>
          <w:p w14:paraId="21393ECB">
            <w:pPr>
              <w:pStyle w:val="12"/>
              <w:numPr>
                <w:ilvl w:val="0"/>
                <w:numId w:val="4"/>
              </w:numPr>
              <w:spacing w:before="120" w:after="120"/>
              <w:ind w:left="93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Observation 2 (ZTE): Even the measurement results of skipped samples are predicted, the network performance based on predicted results is highly likely to differ from the performance based on actual measurements due to the vary channel condition.</w:t>
            </w:r>
          </w:p>
          <w:p w14:paraId="54927F88">
            <w:pPr>
              <w:pStyle w:val="12"/>
              <w:numPr>
                <w:ilvl w:val="0"/>
                <w:numId w:val="4"/>
              </w:numPr>
              <w:spacing w:before="120" w:after="120"/>
              <w:ind w:left="93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(ZTE): it’s necessary to ensure the performance compared to legacy measurement and the testing goal is to verify whether the minimum performance of AI/ML Mobility can be achieved.</w:t>
            </w:r>
          </w:p>
          <w:p w14:paraId="6EC2FCDF">
            <w:pPr>
              <w:pStyle w:val="12"/>
              <w:numPr>
                <w:ilvl w:val="0"/>
                <w:numId w:val="4"/>
              </w:numPr>
              <w:spacing w:before="120" w:after="120"/>
              <w:ind w:left="93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4 (Huawei): RAN4 can discuss the following two options: </w:t>
            </w:r>
          </w:p>
          <w:p w14:paraId="7D66873C">
            <w:pPr>
              <w:pStyle w:val="12"/>
              <w:numPr>
                <w:ilvl w:val="2"/>
                <w:numId w:val="4"/>
              </w:numPr>
              <w:spacing w:before="120" w:after="120"/>
              <w:ind w:left="2376" w:leftChars="0" w:hanging="360"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Option 1: To verify whether the difference between the predicted measurement and the ideal measurement is within the existing relative measurement accuracy requirement.  </w:t>
            </w:r>
          </w:p>
          <w:p w14:paraId="57595F06">
            <w:pPr>
              <w:pStyle w:val="12"/>
              <w:numPr>
                <w:ilvl w:val="2"/>
                <w:numId w:val="4"/>
              </w:numPr>
              <w:spacing w:before="120" w:after="120"/>
              <w:ind w:left="2376" w:leftChars="0" w:hanging="36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Option 2: To verify whether the difference between the predicted measurement and the ideal measurement is within X dB, where X is larger than legacy relative measurement accuracy margin requirement, under the side condition of MRRT and other parameters.</w:t>
            </w:r>
          </w:p>
        </w:tc>
      </w:tr>
    </w:tbl>
    <w:p w14:paraId="046B2C4E">
      <w:pPr>
        <w:spacing w:after="180" w:line="240" w:lineRule="exact"/>
        <w:rPr>
          <w:rFonts w:hint="eastAsia" w:ascii="Times New Roman" w:hAnsi="Times New Roman" w:eastAsia="等线"/>
          <w:bCs/>
          <w:iCs/>
          <w:sz w:val="20"/>
          <w:szCs w:val="20"/>
          <w:lang w:val="en-US" w:eastAsia="zh-CN"/>
        </w:rPr>
      </w:pPr>
    </w:p>
    <w:p w14:paraId="53AC378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In last meeting, it was agreed that RAN4 firstly focus on the the discussion with RRM measurement prediction use-case, RAN4 to only start the discussion of measurement event prediction use-case and RLF use-case if sufficient progress in RAN2. For AI/ML for NR air interface, it was agreed that the testing goal is to verify whether the minimum performance of AI/ML functionality/feature can be achieved [3]. At least for RRM measurement prediction, the testing goal of AI/ML for NR air interface can be reused. If new aspects need to be considered for measurement event prediction use-case and RLF use-case, it can be further discussed later.</w:t>
      </w:r>
    </w:p>
    <w:p w14:paraId="0740BB4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to reuse testing goal definition from NR_AIML_Air WI. In detail, the testing goal is to verify whether the minimum performance of AI/ML functionality/feature can be achieved.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CAE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4D9ECBD">
            <w:pPr>
              <w:pStyle w:val="5"/>
              <w:numPr>
                <w:ilvl w:val="3"/>
                <w:numId w:val="0"/>
              </w:numPr>
              <w:ind w:leftChars="0"/>
              <w:rPr>
                <w:rFonts w:hint="default" w:ascii="Times New Roman" w:hAnsi="Times New Roman" w:cs="Times New Roman"/>
                <w:sz w:val="20"/>
                <w:szCs w:val="20"/>
              </w:rPr>
            </w:pPr>
            <w:r>
              <w:rPr>
                <w:rFonts w:hint="default" w:ascii="Times New Roman" w:hAnsi="Times New Roman" w:cs="Times New Roman"/>
                <w:sz w:val="20"/>
                <w:szCs w:val="20"/>
              </w:rPr>
              <w:t>Issue 3-2-1: Testing in FR1</w:t>
            </w:r>
          </w:p>
          <w:p w14:paraId="19896672">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5A85E98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(MediaTek): Focus on the testability issues in FR1. Check if there is any more testability issue for FR2 AI/ML mobility after RAN4 concluding the testability issues in “AI/ML for NR air interface”.</w:t>
            </w:r>
          </w:p>
          <w:p w14:paraId="1F2311E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(MediaTek): Use conductive test in FR1 for AI/ML mobility.</w:t>
            </w:r>
          </w:p>
          <w:p w14:paraId="6D4D596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Observation 1 (MediaTek): Ground truth is available at TE using conductive test in FR1 for AI/ML mobility.</w:t>
            </w:r>
          </w:p>
          <w:p w14:paraId="2EB2486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(OPPO): For FR1 prediction, it is necessary to consider whether the testing assumption for FR1 rises any additional testing issues.</w:t>
            </w:r>
          </w:p>
          <w:p w14:paraId="1DB69B20">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needs to determine whether the FR1 test should be performed through OTA testing or conductive testing.</w:t>
            </w:r>
          </w:p>
          <w:p w14:paraId="5F91E4A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(OPPO): For FR1 prediction, using conductive testing as the basic assumption for the test environment is more appropriate</w:t>
            </w:r>
          </w:p>
          <w:p w14:paraId="3F31D696">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(Qualcomm): RAN4 to consider FR1 for testability and interoperability issues in the AI/ML-aided mobility study item. And the discussion on testability and interoperability for FR2 can wait for further progress from AI/ML-aided Air interface work item, particularly beam management use case.</w:t>
            </w:r>
          </w:p>
          <w:p w14:paraId="7DE6709A">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(Xiaomi): For RRM measurement prediction, RAN4 to study the maximum numbers of Tx beam that has to be configured in the test and emulated by the test equipment for FR1 and FR2 separately.</w:t>
            </w:r>
          </w:p>
          <w:p w14:paraId="7C4A89A2">
            <w:pPr>
              <w:pStyle w:val="12"/>
              <w:numPr>
                <w:ilvl w:val="1"/>
                <w:numId w:val="4"/>
              </w:numPr>
              <w:spacing w:before="120"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Proposal 5 (ZTE): RAN4 to discuss the number of cell to measurement for AI/ML mob, and the number of cells and SSBs used for legacy intra-f/inter-f measurement can serve as a starting point for discussion.</w:t>
            </w:r>
          </w:p>
        </w:tc>
      </w:tr>
    </w:tbl>
    <w:p w14:paraId="58302FE3">
      <w:pPr>
        <w:spacing w:after="180" w:line="240" w:lineRule="exact"/>
        <w:rPr>
          <w:rFonts w:hint="eastAsia" w:ascii="Times New Roman" w:hAnsi="Times New Roman" w:eastAsia="等线"/>
          <w:bCs/>
          <w:iCs/>
          <w:sz w:val="20"/>
          <w:szCs w:val="20"/>
          <w:lang w:val="en-US" w:eastAsia="zh-CN"/>
        </w:rPr>
      </w:pPr>
    </w:p>
    <w:p w14:paraId="09F900C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was agreed to consider conducted testing as baseline for testing in FR1. In legacy conducted test, the ground truth is the transmit power which can be settled by TE, which means that ground truth is available. Similar approach can be used for FR1 AI/ML mobility.</w:t>
      </w:r>
    </w:p>
    <w:p w14:paraId="28BB515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FR1 AI/ML mobility, it is proposed that the ground truth is the transmit power settled by TE.  </w:t>
      </w:r>
    </w:p>
    <w:p w14:paraId="5F0033BD">
      <w:pPr>
        <w:spacing w:after="180" w:line="240" w:lineRule="exact"/>
        <w:rPr>
          <w:rFonts w:hint="eastAsia" w:ascii="Times New Roman" w:hAnsi="Times New Roman" w:eastAsia="等线"/>
          <w:bCs/>
          <w:iCs/>
          <w:sz w:val="20"/>
          <w:szCs w:val="20"/>
          <w:lang w:val="en-US" w:eastAsia="zh-CN"/>
        </w:rPr>
      </w:pPr>
    </w:p>
    <w:bookmarkEnd w:id="7"/>
    <w:bookmarkEnd w:id="8"/>
    <w:p w14:paraId="5C18422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6404C5E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testability and interoperability for AI/ML for mobility</w:t>
      </w:r>
      <w:r>
        <w:rPr>
          <w:rFonts w:hint="eastAsia" w:ascii="Times New Roman" w:hAnsi="Times New Roman"/>
          <w:sz w:val="20"/>
          <w:szCs w:val="20"/>
        </w:rPr>
        <w:t>. The proposals are:</w:t>
      </w:r>
    </w:p>
    <w:p w14:paraId="3AFE1F3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to reuse testing goal definition from NR_AIML_Air WI. In detail, the testing goal is to verify whether the minimum performance of AI/ML functionality/feature can be achieved. </w:t>
      </w:r>
    </w:p>
    <w:p w14:paraId="782828E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FR1 AI/ML mobility, it is proposed that the ground truth is the transmit power settled by TE.  </w:t>
      </w:r>
    </w:p>
    <w:p w14:paraId="2D0FA8C3">
      <w:pPr>
        <w:tabs>
          <w:tab w:val="left" w:pos="1134"/>
        </w:tabs>
        <w:spacing w:after="180" w:line="240" w:lineRule="exact"/>
        <w:rPr>
          <w:rFonts w:hint="eastAsia" w:ascii="Times New Roman" w:hAnsi="Times New Roman"/>
          <w:sz w:val="20"/>
          <w:szCs w:val="20"/>
        </w:rPr>
      </w:pPr>
    </w:p>
    <w:p w14:paraId="0909EFC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FE89547">
      <w:pPr>
        <w:pStyle w:val="13"/>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3EBB326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462A2A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R4-2414323</w:t>
      </w:r>
      <w:r>
        <w:rPr>
          <w:rFonts w:hint="eastAsia" w:ascii="Times" w:hAnsi="Times" w:eastAsia="宋体"/>
          <w:b w:val="0"/>
          <w:sz w:val="20"/>
          <w:lang w:val="en-US" w:eastAsia="zh-CN"/>
        </w:rPr>
        <w:t>, WF on AI/ML, Qualcomm Incorporated</w:t>
      </w:r>
    </w:p>
    <w:p w14:paraId="634AEE24">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7CE58C5C">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56A47A8">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0C38F9A5">
      <w:pPr>
        <w:pStyle w:val="13"/>
        <w:framePr w:wrap="auto" w:vAnchor="margin" w:hAnchor="text" w:yAlign="inline"/>
        <w:ind w:right="400"/>
        <w:jc w:val="both"/>
        <w:rPr>
          <w:rFonts w:ascii="Times" w:hAnsi="Times" w:eastAsia="宋体"/>
          <w:b w:val="0"/>
          <w:sz w:val="20"/>
          <w:lang w:eastAsia="zh-CN"/>
        </w:rPr>
      </w:pPr>
    </w:p>
    <w:p w14:paraId="5AD85129">
      <w:pPr>
        <w:pStyle w:val="13"/>
        <w:framePr w:wrap="auto" w:vAnchor="margin" w:hAnchor="text" w:yAlign="inline"/>
        <w:ind w:right="400"/>
        <w:jc w:val="both"/>
        <w:rPr>
          <w:rFonts w:ascii="Times" w:hAnsi="Times" w:eastAsia="宋体"/>
          <w:b w:val="0"/>
          <w:sz w:val="20"/>
          <w:lang w:eastAsia="zh-CN"/>
        </w:rPr>
      </w:pPr>
    </w:p>
    <w:p w14:paraId="20399D51">
      <w:pPr>
        <w:pStyle w:val="13"/>
        <w:framePr w:wrap="auto" w:vAnchor="margin" w:hAnchor="text" w:yAlign="inline"/>
        <w:ind w:right="400"/>
        <w:jc w:val="both"/>
        <w:rPr>
          <w:rFonts w:hint="eastAsia" w:ascii="Times" w:hAnsi="Times" w:eastAsia="宋体"/>
          <w:b w:val="0"/>
          <w:sz w:val="20"/>
          <w:lang w:val="en-US" w:eastAsia="zh-CN"/>
        </w:rPr>
      </w:pPr>
    </w:p>
    <w:p w14:paraId="3E731C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B37C7"/>
    <w:rsid w:val="03B64756"/>
    <w:rsid w:val="05581271"/>
    <w:rsid w:val="095F3199"/>
    <w:rsid w:val="13E54515"/>
    <w:rsid w:val="154B4C98"/>
    <w:rsid w:val="1E262080"/>
    <w:rsid w:val="1EA13FCF"/>
    <w:rsid w:val="21F229A5"/>
    <w:rsid w:val="22F84732"/>
    <w:rsid w:val="296A6325"/>
    <w:rsid w:val="2C963514"/>
    <w:rsid w:val="31B53264"/>
    <w:rsid w:val="39A706A6"/>
    <w:rsid w:val="3AF811CC"/>
    <w:rsid w:val="41395AA3"/>
    <w:rsid w:val="41597CC1"/>
    <w:rsid w:val="42566B61"/>
    <w:rsid w:val="45251780"/>
    <w:rsid w:val="457B600C"/>
    <w:rsid w:val="486C7D0F"/>
    <w:rsid w:val="48BD345D"/>
    <w:rsid w:val="4F01352B"/>
    <w:rsid w:val="4FEB696F"/>
    <w:rsid w:val="521A547C"/>
    <w:rsid w:val="56582839"/>
    <w:rsid w:val="59A65848"/>
    <w:rsid w:val="5C491F27"/>
    <w:rsid w:val="61DF3A9F"/>
    <w:rsid w:val="62D556ED"/>
    <w:rsid w:val="676E7F3D"/>
    <w:rsid w:val="67A4673A"/>
    <w:rsid w:val="68D8170E"/>
    <w:rsid w:val="6C642F64"/>
    <w:rsid w:val="71A82806"/>
    <w:rsid w:val="73C17630"/>
    <w:rsid w:val="77B91A3C"/>
    <w:rsid w:val="77F160D3"/>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2024-11-08T08:23:50Z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